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4C" w:rsidRDefault="00E9373E" w:rsidP="0007082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3239770</wp:posOffset>
            </wp:positionH>
            <wp:positionV relativeFrom="paragraph">
              <wp:posOffset>0</wp:posOffset>
            </wp:positionV>
            <wp:extent cx="3777615" cy="939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nd-konkurs-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773"/>
                    <a:stretch/>
                  </pic:blipFill>
                  <pic:spPr bwMode="auto">
                    <a:xfrm>
                      <a:off x="0" y="0"/>
                      <a:ext cx="377761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64C" w:rsidRDefault="005D264C" w:rsidP="005D264C">
      <w:pPr>
        <w:spacing w:before="240" w:after="24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Положение о конкурсе</w:t>
      </w:r>
    </w:p>
    <w:p w:rsidR="005D264C" w:rsidRDefault="005D264C" w:rsidP="005D264C">
      <w:pPr>
        <w:spacing w:before="240" w:after="240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«Сохраняя лес, сохраняем климат»</w:t>
      </w:r>
    </w:p>
    <w:p w:rsidR="005D264C" w:rsidRDefault="005D264C" w:rsidP="005D264C">
      <w:pPr>
        <w:numPr>
          <w:ilvl w:val="0"/>
          <w:numId w:val="4"/>
        </w:numPr>
        <w:spacing w:before="240" w:after="240"/>
        <w:ind w:left="1134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Преамбула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 Организатором конкурса «Сохраняя лес, сохраняем климат» (далее Конкурс) является благотворительный фонд «Красивые дети в красивом мире» (далее Фонд).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Партнером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Конкурса является Российский офис FSC (Лесной попечительский совет). 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 Конкурс является средством реализации программы «Красивый мир» фонда «Красивые дети в красивом мире», направленной на решение природоохранных задач для создания будущего, где дети смогут получить достойное качество жизни в России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сохраненными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природными богатствами нашей страны.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конкурса</w:t>
      </w:r>
    </w:p>
    <w:p w:rsidR="005D264C" w:rsidRDefault="005D264C" w:rsidP="005D264C">
      <w:pPr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 Конкурс направлен на финансовую поддержку деятельности федеральных и региональных особо охраняемых природных территорий 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ООПТ)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восстановлению и сохранению лесов в целях преодоления кризисов, связанных с изменением климата.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  Конкурс направлен на решение следующих задач:</w:t>
      </w:r>
    </w:p>
    <w:p w:rsidR="005D264C" w:rsidRDefault="005D264C" w:rsidP="00E937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 сохранение лесных экосистем ООПТ для предотвращения климатических изменений;</w:t>
      </w:r>
    </w:p>
    <w:p w:rsidR="005D264C" w:rsidRDefault="005D264C" w:rsidP="00E937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пожаров на ООПТ и в ценных лесах; </w:t>
      </w:r>
    </w:p>
    <w:p w:rsidR="005D264C" w:rsidRDefault="005D264C" w:rsidP="00E937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лесов через просвещение, гармонизация отношений между местным населением и лесом.</w:t>
      </w:r>
    </w:p>
    <w:p w:rsidR="005D264C" w:rsidRDefault="005D264C" w:rsidP="005D264C">
      <w:pPr>
        <w:spacing w:before="240" w:after="240"/>
        <w:ind w:left="1134" w:hanging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Сроки, география и этапы проведения конкурса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Конкурс проходит на территории Российской Федерации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3.2 Сроки проведения Конкурса определяются решением Директора Фонда публикуются в объявлениях о Конкурсе на интернет-сайтах Фонда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https://www.detipriroda.ru/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https://ru.fsc.org/ru-ru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позднее, чем за 20 (двадцать) рабочих дней до даты окончания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заявок.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 Заявка по форме, указанной в Приложении 1, включая обоснование и объем запрашиваемого финансирования, направляется заявителем на электронную почту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grants@detipriroda.ru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не позднее 23:30 в дату окончания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заявок, указанную в объявлении о Конкурсе.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 конкурса несёт ответственность за достоверность данных, указанных в заявке.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Кто может принять участие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4.1 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конкурсе могут принимать участие любые ООПТ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имеющие соответствующий статус, включая государственные природные заповедники (в том числе биосферные), национальные парки, природные парки, государственные природные заказники, природные памятники, дендрологические парки и ботанические сады. Подать заявку могут как ООПТ федерального, так и регионального подчинения. При этом заявителем является ФГБУ, осуществляющее управление ООПТ или иное учреждение (дирекция региональных ООПТ), осуществляющих управление данными ООПТ, НКО.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Обязательный комплект документов: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устава;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заявка на участие в конкурсе;</w:t>
      </w:r>
    </w:p>
    <w:p w:rsidR="005D264C" w:rsidRDefault="005D264C" w:rsidP="005D2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об отсутствии задолженности по налогам и сборам;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соответствие заявителя требованиям, предъявляемым к участникам Конкурса.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64C" w:rsidRDefault="005D264C" w:rsidP="00E9373E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   Конкурсные номинации</w:t>
      </w:r>
    </w:p>
    <w:p w:rsidR="005D264C" w:rsidRDefault="005D264C" w:rsidP="00E9373E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 Заявки могут быть поданы в одну из тематических номинаций: </w:t>
      </w:r>
    </w:p>
    <w:p w:rsidR="005D264C" w:rsidRDefault="005D264C" w:rsidP="00E9373E">
      <w:pPr>
        <w:numPr>
          <w:ilvl w:val="0"/>
          <w:numId w:val="3"/>
        </w:numP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«Лес на страже климата»;</w:t>
      </w:r>
    </w:p>
    <w:p w:rsidR="005D264C" w:rsidRDefault="005D264C" w:rsidP="00E9373E">
      <w:pPr>
        <w:numPr>
          <w:ilvl w:val="0"/>
          <w:numId w:val="3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«Нет лесным пожарам: проще предотвратить, чем восстановить»»;</w:t>
      </w:r>
    </w:p>
    <w:p w:rsidR="005D264C" w:rsidRDefault="005D264C" w:rsidP="00E9373E">
      <w:pPr>
        <w:numPr>
          <w:ilvl w:val="0"/>
          <w:numId w:val="3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«Лес и человек: два фактора системы».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 Номинация «Лес на страже климата»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5.2.1 Цель, на достижение которой направлены проекты этой номинации: 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и сохранение: лесных экосистем ООПТ для предотвращения климатических изменений.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 Темы проектов, которые могут участвовать в конкурсе по данной номинации: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Восстановление лесных экосистем на ООПТ и их отдельных компонентов (в том числе, посадка деревьев, уход за посадками) (Х), в том числе после лесных пожаров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Восстановление экосистем защитных лесов (в том числе, посадка деревьев, уход за посадками), в том числе после лесных пожаров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деградации лесных экосистем на ООПТ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деградации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малонарушенных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лесных территорий (МЛТ) и других лесных объектов, сохранение которых важно для предотвращения климатических изменений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Научные исследования, подтверждающие ценность лесов на ООПТ, защитных лесов и МЛТ для предотвращения негативных изменений климата, с целью разработки практических шагов по сокращению эмиссии ПГ, повышению депонирующей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экосистем и повышению их адаптационной способности и с конкретным планом реализации таких исследований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научных знаний о роли лесов в предотвращении климатических изменений, методах ведения «климатически чувствительного» лесного хозяйства, направленного на повышение адаптации лесов к климатическому изменению и их роли в предотвращении таких изменений  </w:t>
      </w:r>
    </w:p>
    <w:p w:rsidR="005D264C" w:rsidRDefault="005D264C" w:rsidP="00E937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Количественная оценка депонирования углерода и (или) предотвращённой эмиссии парниковых газов в результате восстановления или предотвращения деградации лесных экосистем 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 Номинация «Нет лесным пожарам: проще предотвратить, чем восстановить»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 Цель, на достижение которой направлены проекты этой номинации:</w:t>
      </w:r>
    </w:p>
    <w:p w:rsidR="005D264C" w:rsidRDefault="005D264C" w:rsidP="00E93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предотвращение пожаров на ООПТ и в ценных лесах </w:t>
      </w:r>
    </w:p>
    <w:p w:rsidR="005D264C" w:rsidRDefault="005D264C" w:rsidP="00E9373E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5.3.2 Темы проектов, которые могут участвовать в конкурсе по данной номинации:</w:t>
      </w:r>
    </w:p>
    <w:p w:rsidR="005D264C" w:rsidRDefault="005D264C" w:rsidP="00E93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Адаптация лесов на ООПТ и защитных лесов к климатическим изменениям;</w:t>
      </w:r>
    </w:p>
    <w:p w:rsidR="005D264C" w:rsidRDefault="005D264C" w:rsidP="00E93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 лесных пожаров на ООПТ и в других ценных лесах (защитные леса, МЛТ), включая закупку противопожарного оборудования;</w:t>
      </w:r>
    </w:p>
    <w:p w:rsidR="005D264C" w:rsidRDefault="005D264C" w:rsidP="00E93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инновационных решений и их внедрение;</w:t>
      </w:r>
    </w:p>
    <w:p w:rsidR="005D264C" w:rsidRDefault="005D264C" w:rsidP="00E937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исследования, направленные на предотвращение лесных пожаров на ООПТ и в ценных лесах с конкретным планом последующего практического внедрения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5.4 Номинация «Лес и человек: два фактора системы»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 Цели, на достижение которых направлены проекты этой номинации:</w:t>
      </w:r>
    </w:p>
    <w:p w:rsidR="005D264C" w:rsidRDefault="005D264C" w:rsidP="00E9373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лесов через просвещение, гармонизация отношений между местным населением и лесом</w:t>
      </w:r>
    </w:p>
    <w:p w:rsidR="005D264C" w:rsidRDefault="005D264C" w:rsidP="00E9373E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5.4.2 Темы проектов, которые могут участвовать в конкурсе по данной номинации:</w:t>
      </w:r>
    </w:p>
    <w:p w:rsidR="005D264C" w:rsidRDefault="005D264C" w:rsidP="00E93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Просветительская работа с местными жителями, направленная на минимизацию деградации лесов на ООПТ, защитных лесов, МЛТ, предотвращение лесных пожаров, содействие разработке и реализации местными сообществами таких проектов;</w:t>
      </w:r>
    </w:p>
    <w:p w:rsidR="005D264C" w:rsidRDefault="005D264C" w:rsidP="00E93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влияния антропогенных факторов на леса на ООПТ, защитные леса, МЛТ;</w:t>
      </w:r>
    </w:p>
    <w:p w:rsidR="005D264C" w:rsidRDefault="005D264C" w:rsidP="00E9373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альтернативных источников существования местного населения, минимизирующих негативное воздействие на леса и сокращающих эмиссию парниковых газов.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Расходы, которые покрывает грант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 Расходы, которые покрывает грант по п.5.2-5.4.</w:t>
      </w:r>
    </w:p>
    <w:p w:rsidR="005D264C" w:rsidRDefault="005D264C" w:rsidP="00E9373E">
      <w:pPr>
        <w:numPr>
          <w:ilvl w:val="0"/>
          <w:numId w:val="5"/>
        </w:numP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Непосредственная деятельность по темам, указанным в соответствующих номинациях;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труда штатных сотрудников ООПТ, занятых в реализации проекта с обоснованием времени, затраченного на проект, но не более 30% от запрашиваемой суммы гранта;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Закупка оборудования, ГСМ, спецодежды и иных технических средств или расходных материалов при условии, что они необходимы для достижения цели проекта, и заявитель может обосновать, что они не могут быть приобретены из других источников финансирования;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Создание и продвижение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экопросветительского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контента для достижения больших показателей охвата целевой аудитории, включая настройку интернет-рекламы и продвижение в социальных сетях;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сотрудников, повышение их профессиональных компетенций и навыков, необходимых для реализации проекта;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Командировочные, транспортные или организационные расходы, необходимые для качественного выполнения проекта и являющиеся сопутствующими (не основными) видами расходов в рамках подаваемых заявок.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 Расходы, которые не покрывает грант по п.5.2-5.4.</w:t>
      </w:r>
    </w:p>
    <w:p w:rsidR="005D264C" w:rsidRDefault="005D264C" w:rsidP="00E9373E">
      <w:pPr>
        <w:numPr>
          <w:ilvl w:val="0"/>
          <w:numId w:val="2"/>
        </w:numP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Публикация или переиздание материалов, созданных за рамками проекта;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земли, капитальное строительство и иные инфраструктурные вложения, напрямую не относящихся к достижению целей и задач поданного на конкурс проекта;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текущих расходов на содержание лабораторий, библиотек и других структурных подразделений бюджетных или иных организаций (так как грант имеет конечный срок и проектный результат, а не поддержку текущей деятельности);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текущих расходов на уже идущие проекты и обучение, на которые получено финансирование из других источников и не появились новые необходимые статьи расходов;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грантов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Представительские расходы;</w:t>
      </w:r>
    </w:p>
    <w:p w:rsidR="005D264C" w:rsidRDefault="005D264C" w:rsidP="00E9373E">
      <w:pPr>
        <w:numPr>
          <w:ilvl w:val="0"/>
          <w:numId w:val="2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Покупка транспортных средств.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 Критерии оценки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 Система оценки заявок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Поданные заявки оцениваются по 8 критериям: </w:t>
      </w:r>
    </w:p>
    <w:p w:rsidR="005D264C" w:rsidRDefault="005D264C" w:rsidP="00E9373E">
      <w:pPr>
        <w:numPr>
          <w:ilvl w:val="0"/>
          <w:numId w:val="5"/>
        </w:numP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Значимость для сохранения климата;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Значимость для сохранения биоразнообразия;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Значимость для человека;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Своевременность;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Коммуникационный эффект;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Глубина воздействия и масштабируемость;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Устойчивость проекта после завершения финансирования по гранту;</w:t>
      </w:r>
    </w:p>
    <w:p w:rsidR="005D264C" w:rsidRDefault="005D264C" w:rsidP="00E9373E">
      <w:pPr>
        <w:numPr>
          <w:ilvl w:val="0"/>
          <w:numId w:val="5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Технологичность и инновационность.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каждого из критериев эксперт может поставить от нуля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четырех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баллов, где 0 – проект не соответствует критерию или соответствие не отражено в заявке, 1 – частично соответствует, 2 – соответствует, но требует уточнения или доработки, 3 – полностью соответствует. 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 Повышающие коэффициенты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являются общими для всех заявок конкурса «Сохраняя лес, сохраняем климат» однако их вес различается в зависимости от номинации, в которой подан проект. Вес представляет собой повышающий коэффициент от 1 до 3. Коэффициент, равный 3, присваивается наиболее важному критерию для каждой из номинаций. Коэффициент 2 – существенным критериям. Прочие критерии имеют вес равный 1. Максимально возможная сумма баллов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коэффициентов составляет 48. 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 Содержание критериев и вес критериев по номинациям</w:t>
      </w:r>
    </w:p>
    <w:tbl>
      <w:tblPr>
        <w:tblW w:w="9147" w:type="dxa"/>
        <w:tblInd w:w="1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1425"/>
        <w:gridCol w:w="1359"/>
        <w:gridCol w:w="1428"/>
      </w:tblGrid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НОМИНАЦИИ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 на страже климата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лесным пожарам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</w:t>
            </w:r>
          </w:p>
        </w:tc>
      </w:tr>
      <w:tr w:rsidR="005D264C" w:rsidTr="005D264C">
        <w:trPr>
          <w:trHeight w:val="42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Коэффициенты (веса)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Значимость для сохранения климата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возможность:</w:t>
            </w:r>
          </w:p>
          <w:p w:rsidR="005D264C" w:rsidRDefault="005D264C" w:rsidP="005D26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предотвращения эмиссии </w:t>
            </w:r>
            <w:r w:rsidR="00F0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парниковых газов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</w:t>
            </w:r>
            <w:r w:rsidR="00F0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сокращение, </w:t>
            </w:r>
          </w:p>
          <w:p w:rsidR="005D264C" w:rsidRDefault="005D264C" w:rsidP="005D26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увеличения способности экосистем поглощать ПГ, </w:t>
            </w:r>
          </w:p>
          <w:p w:rsidR="005D264C" w:rsidRDefault="005D264C" w:rsidP="005D264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роста адаптации к климатическим изменениям </w:t>
            </w:r>
          </w:p>
          <w:p w:rsidR="005D264C" w:rsidRPr="005D264C" w:rsidRDefault="005D264C" w:rsidP="005D264C">
            <w:pPr>
              <w:pStyle w:val="aa"/>
              <w:widowControl w:val="0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 наличии методики оценки таких результатов проекта)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bookmarkStart w:id="1" w:name="_GoBack"/>
        <w:bookmarkEnd w:id="1"/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Значимость для сохранения биоразнообразия</w:t>
            </w:r>
          </w:p>
          <w:p w:rsidR="005D264C" w:rsidRDefault="005D264C" w:rsidP="005D264C">
            <w:pPr>
              <w:widowControl w:val="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вклад проекта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предотвращение утраты биоразнообразия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Значимость для человека</w:t>
            </w:r>
          </w:p>
          <w:p w:rsidR="005D264C" w:rsidRDefault="005D264C" w:rsidP="005D264C">
            <w:pPr>
              <w:widowControl w:val="0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влияние проекта на рост качества жизни местного населения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Своевременность. </w:t>
            </w:r>
          </w:p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срочность и необходимость реализации проекта.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Коммуникационный эффект. </w:t>
            </w:r>
          </w:p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коммуникационный компонент, направленный на информирование ключевых заинтересованных сторон о ходе его реализации.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C84E08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Глубина воздействия и масштабируемость. </w:t>
            </w:r>
          </w:p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площадь реализации мероприятий, степень позитивных изменений, количество охваченных проектом жителей, а также возможность использования лучших практик и результатов проекта в большем масштабе на других ООПТ. 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C84E08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Устойчивость проекта после завершения финансирования по гранту. </w:t>
            </w:r>
          </w:p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 устойчивость (природоохранную, финансовую, организационную, кадровую) проекта после завершения финансирования по гранту. Заявитель должен продемонстрировать, что у него есть конкретные планы по поддержанию долгосрочной устойчивости проекта.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264C" w:rsidTr="005D264C"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Технологичность и инновационность.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264C" w:rsidRDefault="005D264C" w:rsidP="005D264C">
            <w:pPr>
              <w:widowControl w:val="0"/>
              <w:spacing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из приоритетов Конкурса – поддержка и развитие новых практик, методик и технологий в целях сохранения климата.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797F2F" w:rsidP="00E937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264C" w:rsidRDefault="005D264C" w:rsidP="00E9373E">
            <w:pPr>
              <w:widowControl w:val="0"/>
              <w:spacing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 Заявитель должен показать готовность осуществить софинансирование проекта в размере не менее 20% от требуемой суммы на выполнение всего проекта. Софинансирование может быть получено как из бюджета организации-заявителя, так и из других источников (например, донора или спонсора) при условии согласования этого источника с Фондом. 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Процедура рассмотрения заявок</w:t>
      </w:r>
    </w:p>
    <w:p w:rsidR="005D264C" w:rsidRDefault="005D264C" w:rsidP="005D264C">
      <w:p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 Этапы рассмотрения заявок: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8.1.1 Основной конкурсный цикл включает в себя рассмотрение заявок в трёх номинациях Конкурса: «Лес на страже климата», «Нет лесным пожарам», «Лес и человек».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8.1.2 Объявление о начале приёма заявок в рамках конкурсного цикла публикуется на сайте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www.detipriroda.ru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https://ru.fsc.org/ru-ru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, а также в социальных сетях Фонда. 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приёма заявок, Конкурсная комиссия осуществляет оценку заявок в соответствии с утверждённой системой оценки заявок.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8.2 Состав и порядок формирования Конкурсной комиссии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8.2.1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 Конкурсной комиссии могут входить внешние профильные эксперты, Директор Фонда, иные работники Фонда, работники программного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партнера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Список членов Конкурсной комиссии утверждается Директором Фонда, являющимся Председателем Конкурсной комиссии. Председатель Конкурсной комиссии обеспечивает работу комиссии, а также 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ведёт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заседания. Заседания конкурсной комиссии происходят в очной/заочной форме, в том числе 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путём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обмена мнениями по электронной почте и в онлайн средствах коммуникации.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8.2.2 Основные задачи Конкурсной комиссии:</w:t>
      </w:r>
    </w:p>
    <w:p w:rsidR="005D264C" w:rsidRDefault="005D264C" w:rsidP="00E9373E">
      <w:pPr>
        <w:numPr>
          <w:ilvl w:val="0"/>
          <w:numId w:val="1"/>
        </w:numPr>
        <w:spacing w:before="240"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рассматривает представленные конкурсные заявки и оценивает их в соответствии с принятыми критериями отбора и оценки;</w:t>
      </w:r>
    </w:p>
    <w:p w:rsidR="005D264C" w:rsidRDefault="005D264C" w:rsidP="00E9373E">
      <w:pPr>
        <w:numPr>
          <w:ilvl w:val="0"/>
          <w:numId w:val="1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формирует список конкурсных заявок, рекомендованных к получению грантов на реализацию описанных в заявках проектов;</w:t>
      </w:r>
    </w:p>
    <w:p w:rsidR="005D264C" w:rsidRDefault="005D264C" w:rsidP="00E9373E">
      <w:pPr>
        <w:numPr>
          <w:ilvl w:val="0"/>
          <w:numId w:val="1"/>
        </w:numPr>
        <w:spacing w:after="0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Конкурсная комиссия может рекомендовать доработку в части окончательного варианта плана реализации проекта, изменения бюджета, сроков его реализации и других условий при согласовании их с организацией-заявителем.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8.3 Порядок работы и принятия решений Конкурсной комиссией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 Члены Конкурсной комиссии проводят оценку поданных заявок в соответствии с утверждённой бальной системой. При рассмотрении заявок члены Конкурсной комиссии учитывают их соответствие требованиям к оформлению, условиям и критериям Конкурса.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8.3.2 Состав внешних профильных экспертов, которые входят в Конкурсную комиссию, не разглашается.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8.3.3 Эксперты Конкурса при оценке заявок не вправе вступать в контакты с заявителями, в том числе обсуждать с ними поданные ими заявки, напрямую запрашивать документы, информацию и (или) пояснения.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8.3.4 Эксперт Конкурса не вправе рассматривать заявку организации, если он является сотрудником, консультантом или членом коллегиальных органов такой организации или если таковыми являются его близкие родственники, а также в иных случаях, если имеются обстоятельства, дающие основание полагать, что эксперт лично, прямо или косвенно заинтересован в результатах рассмотрения заявки.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8.3.5 Каждая заявка оценивается не менее чем двумя внешними профильными экспертами.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8.3.6 Конкурсная комиссия рассматривает заявки с 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предварительного рейтинга, определяемого как сумма баллов, присвоенных оценивающими заявку экспертами конкурса по каждому критерию. По результатам рассмотрения Конкурсная комиссия определяет окончательный рейтинг каждой заявки, в том числе вправе пересмотреть оценки заявки в баллах по одному или нескольким критериям.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8.3.7 Конкурсная комиссия принимает окончательное решение по победителям Конкурса в каждой из номинаций.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8.4. Порядок объявления победителей и информирования об итогах конкурса</w:t>
      </w:r>
    </w:p>
    <w:p w:rsidR="005D264C" w:rsidRDefault="005D264C" w:rsidP="005D264C">
      <w:pPr>
        <w:spacing w:before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8.4.1 Победители Конкурса получают информацию об одобрении конкурсной заявки по адресу электронной почты, указанной в заявке. Объявление итогов конкурса - название проектов и организаций-заявителей, победивших в Конкурсе, осуществляется на сайте Фонда. 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8.4.2    Фонд оставляет за собой право не выделять грантовое финансирование в любой из номинаций (а равно и во всех номинациях), при условии, что ни одна из поданных заявок не набрала как минимум 2/3 от максимально возможной суммы баллов. Фонд также оставляет за собой право не комментировать заявки, которые не прошли отбор.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Порядок заключения договора, ответственность сторон и иные юридически значимые положения 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Участнику, победившему в конкурсе, Фонд направляет проект договора благотворительного пожертвования. 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Договор благотворительного пожертвования заключается по каждому проекту.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Если в процессе заключения договора выясниться, что участник, победивший в той или иной номинации, сообщил недостоверные данные, Фонд вправе не заключать договор с таким участником.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Грантовое финансирование должно быть израсходовано в соответствии с его целевым назначением. Изменение назначения финансирования возможно при условии письменного согласия Фонда.  В случае, если часть гранта не будет израсходована после завершения того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или иного проекта, порядок использования неизрасходованных средств гранта определяется Фондом.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Участник, победивший в конкурсе и использующий средства, полученные от Фонда для расширения проекта и привлечение внешних ресурсов, обязан согласовать эти действия с Фондом.</w:t>
      </w:r>
    </w:p>
    <w:p w:rsidR="005D264C" w:rsidRDefault="005D264C" w:rsidP="005D264C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изменения условий или отмены конкурса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 Фонд может внести изменения в Положение о Конкурсе в первую половину срока, предусмотренного для 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>приёма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заявок. Новая версия Положения размещается на сайте фонда по адресу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https://www.detipriroda.ru/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 Заявители, уже подавшие заявки к моменту внесения изменений, будут уведомлены по адресу электронной почты, указанной в заявке.</w:t>
      </w:r>
    </w:p>
    <w:p w:rsidR="005D264C" w:rsidRDefault="005D264C" w:rsidP="005D264C">
      <w:pPr>
        <w:spacing w:before="240" w:after="24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</w:t>
      </w:r>
      <w:r w:rsidR="00E93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Отмена Конкурса по причине действия непреодолимой силы и/или отсутствия финансирования может произойти на любом этапе проведения Конкурса.</w:t>
      </w:r>
    </w:p>
    <w:p w:rsidR="005D264C" w:rsidRDefault="005D264C" w:rsidP="005D26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64C" w:rsidRPr="00070824" w:rsidRDefault="005D264C" w:rsidP="005D264C">
      <w:pPr>
        <w:ind w:left="1134"/>
      </w:pPr>
    </w:p>
    <w:sectPr w:rsidR="005D264C" w:rsidRPr="00070824" w:rsidSect="00E9373E">
      <w:headerReference w:type="default" r:id="rId15"/>
      <w:footerReference w:type="default" r:id="rId16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03" w:rsidRDefault="00497C03" w:rsidP="00717F6C">
      <w:pPr>
        <w:spacing w:after="0" w:line="240" w:lineRule="auto"/>
      </w:pPr>
      <w:r>
        <w:separator/>
      </w:r>
    </w:p>
  </w:endnote>
  <w:endnote w:type="continuationSeparator" w:id="0">
    <w:p w:rsidR="00497C03" w:rsidRDefault="00497C03" w:rsidP="0071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46" w:rsidRDefault="00F96246" w:rsidP="00795A1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03" w:rsidRDefault="00497C03" w:rsidP="00717F6C">
      <w:pPr>
        <w:spacing w:after="0" w:line="240" w:lineRule="auto"/>
      </w:pPr>
      <w:r>
        <w:separator/>
      </w:r>
    </w:p>
  </w:footnote>
  <w:footnote w:type="continuationSeparator" w:id="0">
    <w:p w:rsidR="00497C03" w:rsidRDefault="00497C03" w:rsidP="00717F6C">
      <w:pPr>
        <w:spacing w:after="0" w:line="240" w:lineRule="auto"/>
      </w:pPr>
      <w:r>
        <w:continuationSeparator/>
      </w:r>
    </w:p>
  </w:footnote>
  <w:footnote w:id="1">
    <w:p w:rsidR="005D264C" w:rsidRDefault="005D264C" w:rsidP="00E9373E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отношении участника конкурса должны отсутствовать:</w:t>
      </w:r>
    </w:p>
    <w:p w:rsidR="005D264C" w:rsidRDefault="005D264C" w:rsidP="00E9373E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неисполненные постановления административных органов, вступившие в законную силу решения судов о взыскании с заявителя денежных средств, превышающих 10 процентов размера гранта;</w:t>
      </w:r>
    </w:p>
    <w:p w:rsidR="005D264C" w:rsidRDefault="005D264C" w:rsidP="00E9373E">
      <w:pPr>
        <w:spacing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являющиеся основанием для наложения ареста на находящиеся на банковских счетах участника конкурса денежные средства.</w:t>
      </w:r>
    </w:p>
    <w:p w:rsidR="005D264C" w:rsidRDefault="005D264C" w:rsidP="005D2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4773378"/>
      <w:docPartObj>
        <w:docPartGallery w:val="Watermarks"/>
        <w:docPartUnique/>
      </w:docPartObj>
    </w:sdtPr>
    <w:sdtEndPr/>
    <w:sdtContent>
      <w:p w:rsidR="00F96246" w:rsidRDefault="00F96246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 wp14:anchorId="76F32C35" wp14:editId="69F3E909">
              <wp:simplePos x="0" y="0"/>
              <wp:positionH relativeFrom="column">
                <wp:posOffset>-610870</wp:posOffset>
              </wp:positionH>
              <wp:positionV relativeFrom="paragraph">
                <wp:posOffset>-620395</wp:posOffset>
              </wp:positionV>
              <wp:extent cx="1147445" cy="10895330"/>
              <wp:effectExtent l="0" t="0" r="0" b="1270"/>
              <wp:wrapNone/>
              <wp:docPr id="6" name="Рисунок 6" descr="C:\Users\mpotapova\Desktop\Logo_Air_Moldov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mpotapova\Desktop\Logo_Air_Moldov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7445" cy="10895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2F26"/>
    <w:multiLevelType w:val="multilevel"/>
    <w:tmpl w:val="11901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9544FC"/>
    <w:multiLevelType w:val="hybridMultilevel"/>
    <w:tmpl w:val="839A4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15FC"/>
    <w:multiLevelType w:val="multilevel"/>
    <w:tmpl w:val="3C143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68111F"/>
    <w:multiLevelType w:val="multilevel"/>
    <w:tmpl w:val="24063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0653C4"/>
    <w:multiLevelType w:val="multilevel"/>
    <w:tmpl w:val="9F448A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CA74CC"/>
    <w:multiLevelType w:val="multilevel"/>
    <w:tmpl w:val="EF2E4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B41C36"/>
    <w:multiLevelType w:val="multilevel"/>
    <w:tmpl w:val="FFCE26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8150FC3"/>
    <w:multiLevelType w:val="multilevel"/>
    <w:tmpl w:val="A0C08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5311B7"/>
    <w:multiLevelType w:val="multilevel"/>
    <w:tmpl w:val="9AA42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D03245"/>
    <w:multiLevelType w:val="multilevel"/>
    <w:tmpl w:val="8602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22121A"/>
    <w:multiLevelType w:val="multilevel"/>
    <w:tmpl w:val="3112F0D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7A3301"/>
    <w:multiLevelType w:val="multilevel"/>
    <w:tmpl w:val="E4ECE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C"/>
    <w:rsid w:val="00012020"/>
    <w:rsid w:val="000143A7"/>
    <w:rsid w:val="00070824"/>
    <w:rsid w:val="000D187F"/>
    <w:rsid w:val="001B127E"/>
    <w:rsid w:val="002D3F0D"/>
    <w:rsid w:val="00333A8E"/>
    <w:rsid w:val="00497C03"/>
    <w:rsid w:val="004B2EB6"/>
    <w:rsid w:val="00574B59"/>
    <w:rsid w:val="005D264C"/>
    <w:rsid w:val="00630152"/>
    <w:rsid w:val="00683535"/>
    <w:rsid w:val="006A61D8"/>
    <w:rsid w:val="00717F6C"/>
    <w:rsid w:val="00746691"/>
    <w:rsid w:val="00762839"/>
    <w:rsid w:val="00795A1E"/>
    <w:rsid w:val="00797F2F"/>
    <w:rsid w:val="00854945"/>
    <w:rsid w:val="00876BC9"/>
    <w:rsid w:val="00885364"/>
    <w:rsid w:val="008D3A7B"/>
    <w:rsid w:val="00A154D5"/>
    <w:rsid w:val="00A96256"/>
    <w:rsid w:val="00BA069B"/>
    <w:rsid w:val="00BF6F54"/>
    <w:rsid w:val="00C35FD0"/>
    <w:rsid w:val="00C84E08"/>
    <w:rsid w:val="00E52F71"/>
    <w:rsid w:val="00E9373E"/>
    <w:rsid w:val="00F0745A"/>
    <w:rsid w:val="00F4085C"/>
    <w:rsid w:val="00F9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51A6C"/>
  <w15:docId w15:val="{8669D6A9-1EB3-49ED-AA1E-70CFB4C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F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F6C"/>
  </w:style>
  <w:style w:type="paragraph" w:styleId="a7">
    <w:name w:val="footer"/>
    <w:basedOn w:val="a"/>
    <w:link w:val="a8"/>
    <w:uiPriority w:val="99"/>
    <w:unhideWhenUsed/>
    <w:rsid w:val="0071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F6C"/>
  </w:style>
  <w:style w:type="character" w:styleId="a9">
    <w:name w:val="Hyperlink"/>
    <w:basedOn w:val="a0"/>
    <w:uiPriority w:val="99"/>
    <w:semiHidden/>
    <w:unhideWhenUsed/>
    <w:rsid w:val="00795A1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fsc.org/ru-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tiprirod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nts@detipriroda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fsc.org/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tipriroda.ru/" TargetMode="External"/><Relationship Id="rId14" Type="http://schemas.openxmlformats.org/officeDocument/2006/relationships/hyperlink" Target="https://www.detipriroda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8683-046F-46D3-AF47-12A0248E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M. Potapova</dc:creator>
  <cp:lastModifiedBy>Севастопольская Ольга Борисовна</cp:lastModifiedBy>
  <cp:revision>3</cp:revision>
  <cp:lastPrinted>2016-12-16T12:44:00Z</cp:lastPrinted>
  <dcterms:created xsi:type="dcterms:W3CDTF">2021-10-13T17:39:00Z</dcterms:created>
  <dcterms:modified xsi:type="dcterms:W3CDTF">2021-10-13T17:40:00Z</dcterms:modified>
</cp:coreProperties>
</file>