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Положение о конкурсе</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«Красивый мир»</w:t>
      </w:r>
    </w:p>
    <w:p w:rsidR="00000000" w:rsidDel="00000000" w:rsidP="00000000" w:rsidRDefault="00000000" w:rsidRPr="00000000" w14:paraId="00000003">
      <w:pPr>
        <w:numPr>
          <w:ilvl w:val="0"/>
          <w:numId w:val="8"/>
        </w:num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Преамбула</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Организатором конкурса «Красивый мир» (далее Конкурс) является благотворительный фонд «Красивые дети в красивом мире» (далее Фонд).</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Конкурс является основным средством реализации программы «Красивый мир» фонда «Красивые дети в красивом мире», направленной на системное решение актуальных социальных и природоохранных задач для создания будущего, где дети смогут получить достойное качество жизни в России с сохраненными природными богатствами нашей страны.</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Цели и задачи конкурса</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Конкурс нацелен на благотворительную финансовую поддержку деятельности федеральных и региональных особо охраняемых природных территорий (далее ООПТ) в целях содействия сохранения биологического разнообразия, природного и культурного наследия, а также охраны окружающей среды России.</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Конкурс направлен на решение следующих задач:</w:t>
      </w:r>
    </w:p>
    <w:p w:rsidR="00000000" w:rsidDel="00000000" w:rsidP="00000000" w:rsidRDefault="00000000" w:rsidRPr="00000000" w14:paraId="00000009">
      <w:pPr>
        <w:numPr>
          <w:ilvl w:val="0"/>
          <w:numId w:val="12"/>
        </w:numPr>
        <w:spacing w:before="240" w:lineRule="auto"/>
        <w:ind w:left="56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Поддержку природоохранной и научной деятельности ООПТ; </w:t>
      </w:r>
    </w:p>
    <w:p w:rsidR="00000000" w:rsidDel="00000000" w:rsidP="00000000" w:rsidRDefault="00000000" w:rsidRPr="00000000" w14:paraId="0000000A">
      <w:pPr>
        <w:numPr>
          <w:ilvl w:val="0"/>
          <w:numId w:val="12"/>
        </w:numPr>
        <w:ind w:left="56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Содействие экологическому просвещению населения и формированию общественной поддержки ООПТ;</w:t>
      </w:r>
    </w:p>
    <w:p w:rsidR="00000000" w:rsidDel="00000000" w:rsidP="00000000" w:rsidRDefault="00000000" w:rsidRPr="00000000" w14:paraId="0000000B">
      <w:pPr>
        <w:numPr>
          <w:ilvl w:val="0"/>
          <w:numId w:val="12"/>
        </w:numPr>
        <w:ind w:left="56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Повышение эффективности деятельности и партнерства ООПТ;</w:t>
      </w:r>
    </w:p>
    <w:p w:rsidR="00000000" w:rsidDel="00000000" w:rsidP="00000000" w:rsidRDefault="00000000" w:rsidRPr="00000000" w14:paraId="0000000C">
      <w:pPr>
        <w:numPr>
          <w:ilvl w:val="0"/>
          <w:numId w:val="12"/>
        </w:numPr>
        <w:spacing w:after="240" w:lineRule="auto"/>
        <w:ind w:left="56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Поддержку ООПТ и их сотрудников в кризисных ситуациях.</w:t>
      </w:r>
    </w:p>
    <w:p w:rsidR="00000000" w:rsidDel="00000000" w:rsidP="00000000" w:rsidRDefault="00000000" w:rsidRPr="00000000" w14:paraId="0000000D">
      <w:pPr>
        <w:spacing w:after="240" w:before="240" w:lineRule="auto"/>
        <w:ind w:left="566" w:hanging="56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Сроки, география и этапы проведения конкурса</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Конкурс проходит на территории Российской Федерации</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Конкурс проводится ежегодно, если иное не предусмотрено решением Фонда.</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Фонд вправе пересматривать периодичность проведения конкурсов.</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Сроки проведения Конкурса определяются решением Директора Фонда на ежегодной основе и публикуются в объявлении о Конкурсе на интернет-сайте Фонда </w:t>
      </w:r>
      <w:hyperlink r:id="rId8">
        <w:r w:rsidDel="00000000" w:rsidR="00000000" w:rsidRPr="00000000">
          <w:rPr>
            <w:rFonts w:ascii="Times New Roman" w:cs="Times New Roman" w:eastAsia="Times New Roman" w:hAnsi="Times New Roman"/>
            <w:color w:val="1155cc"/>
            <w:sz w:val="24"/>
            <w:szCs w:val="24"/>
            <w:u w:val="single"/>
            <w:rtl w:val="0"/>
          </w:rPr>
          <w:t xml:space="preserve">https://www.detipriroda.ru/programms/beautifulworld/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 позднее, чем за 20 (двадцать) рабочих дней до даты окончания приема заявок.</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Заполненная заявка по форме на конкурса”Красивывый мир”,  включая обоснование и объем запрашиваемого финансирования, направляется заявителем на электронную почту  </w:t>
      </w:r>
      <w:r w:rsidDel="00000000" w:rsidR="00000000" w:rsidRPr="00000000">
        <w:rPr>
          <w:rFonts w:ascii="Times New Roman" w:cs="Times New Roman" w:eastAsia="Times New Roman" w:hAnsi="Times New Roman"/>
          <w:b w:val="1"/>
          <w:sz w:val="24"/>
          <w:szCs w:val="24"/>
          <w:highlight w:val="white"/>
          <w:rtl w:val="0"/>
        </w:rPr>
        <w:t xml:space="preserve">grants@detipriroda.ru</w:t>
      </w:r>
      <w:r w:rsidDel="00000000" w:rsidR="00000000" w:rsidRPr="00000000">
        <w:rPr>
          <w:rFonts w:ascii="Times New Roman" w:cs="Times New Roman" w:eastAsia="Times New Roman" w:hAnsi="Times New Roman"/>
          <w:sz w:val="24"/>
          <w:szCs w:val="24"/>
          <w:rtl w:val="0"/>
        </w:rPr>
        <w:t xml:space="preserve"> не позднее </w:t>
      </w:r>
      <w:r w:rsidDel="00000000" w:rsidR="00000000" w:rsidRPr="00000000">
        <w:rPr>
          <w:rFonts w:ascii="Times New Roman" w:cs="Times New Roman" w:eastAsia="Times New Roman" w:hAnsi="Times New Roman"/>
          <w:b w:val="1"/>
          <w:sz w:val="24"/>
          <w:szCs w:val="24"/>
          <w:rtl w:val="0"/>
        </w:rPr>
        <w:t xml:space="preserve">23:59</w:t>
      </w:r>
      <w:r w:rsidDel="00000000" w:rsidR="00000000" w:rsidRPr="00000000">
        <w:rPr>
          <w:rFonts w:ascii="Times New Roman" w:cs="Times New Roman" w:eastAsia="Times New Roman" w:hAnsi="Times New Roman"/>
          <w:sz w:val="24"/>
          <w:szCs w:val="24"/>
          <w:rtl w:val="0"/>
        </w:rPr>
        <w:t xml:space="preserve"> в дату окончания приема заявок, указанную в объявлении о Конкурсе.</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 конкурса несет ответственность за достоверность данных, указанных в заявке.</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3.5 Номинация «Здесь и сейчас» не имеет сроков подачи. При наличии подтвержденной срочной необходимости в выделении средств на экстренные природоохранные нужды заявитель вправе подать заявку в любой момент в течение календарного года. Фонд вправе отказать в выделении срочной помощи без объяснения причин.</w:t>
      </w:r>
      <w:r w:rsidDel="00000000" w:rsidR="00000000" w:rsidRPr="00000000">
        <w:rPr>
          <w:rtl w:val="0"/>
        </w:rPr>
      </w:r>
    </w:p>
    <w:p w:rsidR="00000000" w:rsidDel="00000000" w:rsidP="00000000" w:rsidRDefault="00000000" w:rsidRPr="00000000" w14:paraId="0000001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Кто может принять участие</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В конкурсе могут принимать участие любые ООПТ</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Российской Федерации, имеющие соответствующий статус, включая государственные природные заповедники (в том числе биосферные), национальные парки, природные парки, государственные природные заказники, природные памятники, дендрологические парки и ботанические сады. Подать заявку могут как ООПТ федерального, так и регионального подчинения. При этом заявителем является ФГБУ, осуществляющее управление ООПТ или иное учреждение (дирекция региональных ООПТ), осуществляющих управление данными ООПТ, НКО.</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Обязательный комплект документов:</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копия устава;</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заявка на участие в конкурсе;</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справка об отсутствии задолженности по налогам и сборам;</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документы, подтверждающие соответствие заявителя требованиям, предъявляемым к участникам Конкурса.</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Rule="auto"/>
        <w:ind w:left="566" w:hanging="57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Конкурсные номинации</w:t>
      </w:r>
    </w:p>
    <w:p w:rsidR="00000000" w:rsidDel="00000000" w:rsidP="00000000" w:rsidRDefault="00000000" w:rsidRPr="00000000" w14:paraId="0000001E">
      <w:pPr>
        <w:spacing w:after="240" w:before="240" w:lineRule="auto"/>
        <w:ind w:left="566"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Заявки могут быть поданы в одну из тематических номинаций: </w:t>
      </w:r>
    </w:p>
    <w:p w:rsidR="00000000" w:rsidDel="00000000" w:rsidP="00000000" w:rsidRDefault="00000000" w:rsidRPr="00000000" w14:paraId="0000001F">
      <w:pPr>
        <w:numPr>
          <w:ilvl w:val="0"/>
          <w:numId w:val="6"/>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«Охрана природы и природоохранная наука»;</w:t>
      </w:r>
    </w:p>
    <w:p w:rsidR="00000000" w:rsidDel="00000000" w:rsidP="00000000" w:rsidRDefault="00000000" w:rsidRPr="00000000" w14:paraId="00000020">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«Экологическое просвещение»;</w:t>
      </w:r>
    </w:p>
    <w:p w:rsidR="00000000" w:rsidDel="00000000" w:rsidP="00000000" w:rsidRDefault="00000000" w:rsidRPr="00000000" w14:paraId="00000021">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«Партнерство ООПТ»;</w:t>
      </w:r>
    </w:p>
    <w:p w:rsidR="00000000" w:rsidDel="00000000" w:rsidP="00000000" w:rsidRDefault="00000000" w:rsidRPr="00000000" w14:paraId="00000022">
      <w:pPr>
        <w:numPr>
          <w:ilvl w:val="0"/>
          <w:numId w:val="6"/>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«Здесь и сейчас»: оказание финансовой поддержки ООПТ в кризисных и экстренных ситуациях.</w:t>
      </w:r>
      <w:r w:rsidDel="00000000" w:rsidR="00000000" w:rsidRPr="00000000">
        <w:rPr>
          <w:rtl w:val="0"/>
        </w:rPr>
      </w:r>
    </w:p>
    <w:p w:rsidR="00000000" w:rsidDel="00000000" w:rsidP="00000000" w:rsidRDefault="00000000" w:rsidRPr="00000000" w14:paraId="00000023">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Номинация «Охрана природы и природоохранная наука»</w:t>
      </w:r>
    </w:p>
    <w:p w:rsidR="00000000" w:rsidDel="00000000" w:rsidP="00000000" w:rsidRDefault="00000000" w:rsidRPr="00000000" w14:paraId="0000002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Цели, на достижение которых направлены проекты этой номинации: </w:t>
      </w:r>
    </w:p>
    <w:p w:rsidR="00000000" w:rsidDel="00000000" w:rsidP="00000000" w:rsidRDefault="00000000" w:rsidRPr="00000000" w14:paraId="00000025">
      <w:pPr>
        <w:numPr>
          <w:ilvl w:val="0"/>
          <w:numId w:val="13"/>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Сохранение природных экосистем и биоразнообразия, включая исследования, сохранение и восстановление как природных ландшафтов, так и отдельных видов дикой флоры и фауны.</w:t>
      </w:r>
    </w:p>
    <w:p w:rsidR="00000000" w:rsidDel="00000000" w:rsidP="00000000" w:rsidRDefault="00000000" w:rsidRPr="00000000" w14:paraId="0000002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Темы проектов, которые могут участвовать в конкурсе по данной номинации:</w:t>
      </w:r>
    </w:p>
    <w:p w:rsidR="00000000" w:rsidDel="00000000" w:rsidP="00000000" w:rsidRDefault="00000000" w:rsidRPr="00000000" w14:paraId="00000027">
      <w:pPr>
        <w:numPr>
          <w:ilvl w:val="0"/>
          <w:numId w:val="4"/>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Сохранение целостности экосистем: меры, направленные на охрану или восстановление важных (уникальных, модельных) экосистем или ландшафтов. </w:t>
      </w:r>
    </w:p>
    <w:p w:rsidR="00000000" w:rsidDel="00000000" w:rsidP="00000000" w:rsidRDefault="00000000" w:rsidRPr="00000000" w14:paraId="0000002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w:t>
      </w:r>
      <w:r w:rsidDel="00000000" w:rsidR="00000000" w:rsidRPr="00000000">
        <w:rPr>
          <w:rFonts w:ascii="Times New Roman" w:cs="Times New Roman" w:eastAsia="Times New Roman" w:hAnsi="Times New Roman"/>
          <w:sz w:val="24"/>
          <w:szCs w:val="24"/>
          <w:rtl w:val="0"/>
        </w:rPr>
        <w:t xml:space="preserve">предотвращение</w:t>
      </w:r>
      <w:r w:rsidDel="00000000" w:rsidR="00000000" w:rsidRPr="00000000">
        <w:rPr>
          <w:rFonts w:ascii="Times New Roman" w:cs="Times New Roman" w:eastAsia="Times New Roman" w:hAnsi="Times New Roman"/>
          <w:sz w:val="24"/>
          <w:szCs w:val="24"/>
          <w:rtl w:val="0"/>
        </w:rPr>
        <w:t xml:space="preserve"> фрагментации, восстановление типичного растительного покрова, внедрение практик экологически устойчивого земле- и водопользования и т.д.);</w:t>
      </w:r>
    </w:p>
    <w:p w:rsidR="00000000" w:rsidDel="00000000" w:rsidP="00000000" w:rsidRDefault="00000000" w:rsidRPr="00000000" w14:paraId="00000029">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Сохранение или реинтродукция флаговых видов (как индикаторов здоровья и нормального функционирования экосистемы);</w:t>
      </w:r>
    </w:p>
    <w:p w:rsidR="00000000" w:rsidDel="00000000" w:rsidP="00000000" w:rsidRDefault="00000000" w:rsidRPr="00000000" w14:paraId="0000002A">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Борьба с браконьерством и его профилактика;</w:t>
      </w:r>
    </w:p>
    <w:p w:rsidR="00000000" w:rsidDel="00000000" w:rsidP="00000000" w:rsidRDefault="00000000" w:rsidRPr="00000000" w14:paraId="0000002B">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Научные исследования в области морфологии, генетики, поведения, миграций и местообитаний животных и иных областей знаний, необходимых для осуществления комплексного научно-обоснованного подхода к охране природы (подача заявок возможна при наличии плана реализации проекта и подтверждения о намерениях его реализовать на территории ООПТ в обозримом будущем);</w:t>
      </w:r>
    </w:p>
    <w:p w:rsidR="00000000" w:rsidDel="00000000" w:rsidP="00000000" w:rsidRDefault="00000000" w:rsidRPr="00000000" w14:paraId="0000002C">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Биогеографические (ландшафты) и ботанические (флора) исследования;</w:t>
      </w:r>
    </w:p>
    <w:p w:rsidR="00000000" w:rsidDel="00000000" w:rsidP="00000000" w:rsidRDefault="00000000" w:rsidRPr="00000000" w14:paraId="0000002D">
      <w:pPr>
        <w:numPr>
          <w:ilvl w:val="0"/>
          <w:numId w:val="4"/>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обоснований для расширения, повышения охранного статуса или создания новых ООПТ.</w:t>
      </w:r>
    </w:p>
    <w:p w:rsidR="00000000" w:rsidDel="00000000" w:rsidP="00000000" w:rsidRDefault="00000000" w:rsidRPr="00000000" w14:paraId="0000002E">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Номинация «Экологическое просвещение»</w:t>
      </w:r>
    </w:p>
    <w:p w:rsidR="00000000" w:rsidDel="00000000" w:rsidP="00000000" w:rsidRDefault="00000000" w:rsidRPr="00000000" w14:paraId="0000002F">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Цели, на достижение которых направлены проекты этой номинации:</w:t>
      </w:r>
    </w:p>
    <w:p w:rsidR="00000000" w:rsidDel="00000000" w:rsidP="00000000" w:rsidRDefault="00000000" w:rsidRPr="00000000" w14:paraId="00000030">
      <w:pPr>
        <w:numPr>
          <w:ilvl w:val="0"/>
          <w:numId w:val="9"/>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Решение природоохранных задач ООПТ;</w:t>
      </w:r>
    </w:p>
    <w:p w:rsidR="00000000" w:rsidDel="00000000" w:rsidP="00000000" w:rsidRDefault="00000000" w:rsidRPr="00000000" w14:paraId="00000031">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Повышение уровня экологической грамотности детей и взрослых, включая формирование знаний посетителей о деятельности ООПТ и/или изменение поведения посетителей на ООПТ;</w:t>
      </w:r>
    </w:p>
    <w:p w:rsidR="00000000" w:rsidDel="00000000" w:rsidP="00000000" w:rsidRDefault="00000000" w:rsidRPr="00000000" w14:paraId="00000032">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Вовлечение новых аудиторий в деятельность ООПТ, создание офлайн и онлайн-сообществ вокруг ООПТ;</w:t>
      </w:r>
    </w:p>
    <w:p w:rsidR="00000000" w:rsidDel="00000000" w:rsidP="00000000" w:rsidRDefault="00000000" w:rsidRPr="00000000" w14:paraId="00000033">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Популяризациия заповедной системы, способствующая донесению информации о важности сохранения ООПТ и повышению лояльности граждан к системе ООПТ.</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Темы проектов, которые могут участвовать в конкурсе по данной номинации:</w:t>
      </w:r>
    </w:p>
    <w:p w:rsidR="00000000" w:rsidDel="00000000" w:rsidP="00000000" w:rsidRDefault="00000000" w:rsidRPr="00000000" w14:paraId="00000035">
      <w:pPr>
        <w:numPr>
          <w:ilvl w:val="0"/>
          <w:numId w:val="1"/>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распространение образовательных и просветительских программ: уроки, лекции, курсы, мастер-классы для детей и взрослых;</w:t>
      </w:r>
    </w:p>
    <w:p w:rsidR="00000000" w:rsidDel="00000000" w:rsidP="00000000" w:rsidRDefault="00000000" w:rsidRPr="00000000" w14:paraId="00000036">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распространение и продвижение экопросветительских продуктов: книги, фотоальбомы, фильмы, подкасты, видео-блоги, игры, мобильные приложения, сайты и т.д.</w:t>
      </w:r>
    </w:p>
    <w:p w:rsidR="00000000" w:rsidDel="00000000" w:rsidP="00000000" w:rsidRDefault="00000000" w:rsidRPr="00000000" w14:paraId="00000037">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инфраструктуры для экопросветительской деятельности и экотуризма: экотропы, визит-центры, музеи, фотовыставки и т.д.</w:t>
      </w:r>
    </w:p>
    <w:p w:rsidR="00000000" w:rsidDel="00000000" w:rsidP="00000000" w:rsidRDefault="00000000" w:rsidRPr="00000000" w14:paraId="00000038">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Медиа-проекты: развитие соцсетей и взаимодействие со СМИ, включая разработку стратегий и коммуникационных планов, организацию пресс-туров, пресс-конференций и т.д.</w:t>
      </w:r>
    </w:p>
    <w:p w:rsidR="00000000" w:rsidDel="00000000" w:rsidP="00000000" w:rsidRDefault="00000000" w:rsidRPr="00000000" w14:paraId="00000039">
      <w:pPr>
        <w:numPr>
          <w:ilvl w:val="0"/>
          <w:numId w:val="1"/>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с местным населением: организация мероприятий, просветительских кампаний, совместных проектов, в которых будут принимать участие жители ближайших к ООПТ территорий.</w:t>
      </w:r>
    </w:p>
    <w:p w:rsidR="00000000" w:rsidDel="00000000" w:rsidP="00000000" w:rsidRDefault="00000000" w:rsidRPr="00000000" w14:paraId="0000003A">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Номинация «Партнерство ООПТ»</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 Номинация поддерживает проекты по созданию партнерских проектов двух или более ООПТ с целью решения общих задач.</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Цели, на достижение которых направлены проекты этой номинации:</w:t>
      </w:r>
    </w:p>
    <w:p w:rsidR="00000000" w:rsidDel="00000000" w:rsidP="00000000" w:rsidRDefault="00000000" w:rsidRPr="00000000" w14:paraId="0000003D">
      <w:pPr>
        <w:numPr>
          <w:ilvl w:val="0"/>
          <w:numId w:val="7"/>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партнерских проектов и их выполнение с вовлечением разных организаций с целью расширения и повышения устойчивости проекта;</w:t>
      </w:r>
    </w:p>
    <w:p w:rsidR="00000000" w:rsidDel="00000000" w:rsidP="00000000" w:rsidRDefault="00000000" w:rsidRPr="00000000" w14:paraId="0000003E">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системных решений и их масштабирование в природоохранной деятельности.</w:t>
      </w:r>
    </w:p>
    <w:p w:rsidR="00000000" w:rsidDel="00000000" w:rsidP="00000000" w:rsidRDefault="00000000" w:rsidRPr="00000000" w14:paraId="0000003F">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Содействие повышению эффективности природоохранной деятельности ООПТ;</w:t>
      </w:r>
    </w:p>
    <w:p w:rsidR="00000000" w:rsidDel="00000000" w:rsidP="00000000" w:rsidRDefault="00000000" w:rsidRPr="00000000" w14:paraId="00000040">
      <w:pPr>
        <w:numPr>
          <w:ilvl w:val="0"/>
          <w:numId w:val="7"/>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и укрепление партнерств среди ООПТ, обмен опытом успешного решения природоохранных задач между различными ООПТ и их сотрудниками;</w:t>
      </w:r>
    </w:p>
    <w:p w:rsidR="00000000" w:rsidDel="00000000" w:rsidP="00000000" w:rsidRDefault="00000000" w:rsidRPr="00000000" w14:paraId="00000041">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Приобретение новых навыков сотрудниками ООПТ и использование их в практической деятельности.</w:t>
      </w:r>
      <w:r w:rsidDel="00000000" w:rsidR="00000000" w:rsidRPr="00000000">
        <w:rPr>
          <w:rtl w:val="0"/>
        </w:rPr>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5.4.3 Темы проектов, которые могут участвовать в конкурсе по данной номинации:</w:t>
      </w:r>
    </w:p>
    <w:p w:rsidR="00000000" w:rsidDel="00000000" w:rsidP="00000000" w:rsidRDefault="00000000" w:rsidRPr="00000000" w14:paraId="00000043">
      <w:pPr>
        <w:spacing w:befor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Обмен опытом и обучение сотрудников ООПТ с целью реализации совместных проектов, приобретения и поддержания профессиональных навыков и компетенций, необходимых для более эффективного выполнения природоохранных, научных и экопросветительских задач. Включая применение современного оборудования, транспортных средств, высокотехнологичных устройств и программ для изучения, мониторинга и охраны биологического разнообразия и экосистем, но не ограничиваясь вышеперечисленным. Совместные проекты должны быть системными, значимыми с природоохранной точки зрения и устойчивыми в долгосрочной перспективе.</w:t>
      </w:r>
    </w:p>
    <w:p w:rsidR="00000000" w:rsidDel="00000000" w:rsidP="00000000" w:rsidRDefault="00000000" w:rsidRPr="00000000" w14:paraId="00000044">
      <w:pPr>
        <w:spacing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 Номинация «Здесь и сейчас»: оказание финансовой поддержки ООПТ в кризисных и экстренных ситуациях</w:t>
      </w:r>
    </w:p>
    <w:p w:rsidR="00000000" w:rsidDel="00000000" w:rsidP="00000000" w:rsidRDefault="00000000" w:rsidRPr="00000000" w14:paraId="0000004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 Цели, на достижение которых направлены проекты этой номинации:</w:t>
      </w:r>
    </w:p>
    <w:p w:rsidR="00000000" w:rsidDel="00000000" w:rsidP="00000000" w:rsidRDefault="00000000" w:rsidRPr="00000000" w14:paraId="00000048">
      <w:pPr>
        <w:numPr>
          <w:ilvl w:val="0"/>
          <w:numId w:val="2"/>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Решение экстренных природоохранных задач, направленных на предотвращение и устранение негативных последствий чрезвычайных событий естественного или антропогенного характера (пожаров, наводнений, бескормицы, снегопадов и т.д.), угрожающих целостности экосистемы или одному, или нескольким видам флоры и фауны на территории одного или нескольких ООПТ.</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Поддержка восстановительного лечения для сотрудников ООПТ, пострадавших в ходе исполнения служебных обязанностей.</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 Темы проектов, которые могут участвовать в конкурсе по данной номинации:</w:t>
      </w:r>
    </w:p>
    <w:p w:rsidR="00000000" w:rsidDel="00000000" w:rsidP="00000000" w:rsidRDefault="00000000" w:rsidRPr="00000000" w14:paraId="0000004B">
      <w:pPr>
        <w:numPr>
          <w:ilvl w:val="0"/>
          <w:numId w:val="10"/>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проекты, требующие срочной финансовой поддержки для решения экстренных природоохранных задач.</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 Срок рассмотрения конкурсной заявки в номинации «Здесь и сейчас» составляет не более 14 календарных дней. Представитель Фонда может задавать уточняющие вопросы в течение срока рассмотрения заявки, а также затребовать документы, подтверждающие:</w:t>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-расходы, необходимые для предотвращения или устранения последствий чрезвычайных событий;</w:t>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 несчастного случая на производстве: медицинское заключение, назначения и рецепты врачей (в случае необходимого лечения для сотрудников ООПТ, пострадавших в ходе исполнения служебных обязанностей).</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Расходы, которые покрывает грант</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6.1 Расходы, которые покрывает грант по п.5.2-5.4.</w:t>
      </w:r>
    </w:p>
    <w:p w:rsidR="00000000" w:rsidDel="00000000" w:rsidP="00000000" w:rsidRDefault="00000000" w:rsidRPr="00000000" w14:paraId="00000051">
      <w:pPr>
        <w:numPr>
          <w:ilvl w:val="0"/>
          <w:numId w:val="11"/>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Непосредственная деятельность по темам, указанным в соответствующих номинациях;</w:t>
      </w:r>
    </w:p>
    <w:p w:rsidR="00000000" w:rsidDel="00000000" w:rsidP="00000000" w:rsidRDefault="00000000" w:rsidRPr="00000000" w14:paraId="00000052">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труда штатных сотрудников ООПТ, занятых в реализации проекта с обоснованием времени, затраченного на проект, но не более 50% от запрашиваемой суммы гранта;</w:t>
      </w:r>
    </w:p>
    <w:p w:rsidR="00000000" w:rsidDel="00000000" w:rsidP="00000000" w:rsidRDefault="00000000" w:rsidRPr="00000000" w14:paraId="00000053">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Закупка оборудования, ГСМ, спецодежды и иных технических средств или расходных материалов при условии, что они необходимы для достижения цели проекта, и заявитель может обосновать, что они не могут быть приобретены из других источников финансирования;</w:t>
      </w:r>
    </w:p>
    <w:p w:rsidR="00000000" w:rsidDel="00000000" w:rsidP="00000000" w:rsidRDefault="00000000" w:rsidRPr="00000000" w14:paraId="00000054">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и продвижение экопросветительского контента для достижения больших показателей охвата целевой аудитории, включая настройку интернет-рекламы и продвижение в социальных сетях;</w:t>
      </w:r>
    </w:p>
    <w:p w:rsidR="00000000" w:rsidDel="00000000" w:rsidP="00000000" w:rsidRDefault="00000000" w:rsidRPr="00000000" w14:paraId="00000055">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Обучение сотрудников, повышение их профессиональных компетенций и навыков, необходимых для реализации проекта;</w:t>
      </w:r>
    </w:p>
    <w:p w:rsidR="00000000" w:rsidDel="00000000" w:rsidP="00000000" w:rsidRDefault="00000000" w:rsidRPr="00000000" w14:paraId="00000056">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Командировочные, транспортные или организационные расходы, необходимые для качественного выполнения проекта и являющиеся сопутствующими (не основными) видами расходов в рамках подаваемых заявок.</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6.2 Расходы, которые не покрывает грант по п.5.2-5.4.</w:t>
      </w:r>
    </w:p>
    <w:p w:rsidR="00000000" w:rsidDel="00000000" w:rsidP="00000000" w:rsidRDefault="00000000" w:rsidRPr="00000000" w14:paraId="00000058">
      <w:pPr>
        <w:numPr>
          <w:ilvl w:val="0"/>
          <w:numId w:val="5"/>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Публикация или переиздание материалов, созданных за рамками проекта;</w:t>
      </w:r>
    </w:p>
    <w:p w:rsidR="00000000" w:rsidDel="00000000" w:rsidP="00000000" w:rsidRDefault="00000000" w:rsidRPr="00000000" w14:paraId="00000059">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Приобретение земли, капитальное строительство и иные инфраструктурные вложения, напрямую не относящихся к достижению целей и задач поданного на конкурс проекта;</w:t>
      </w:r>
    </w:p>
    <w:p w:rsidR="00000000" w:rsidDel="00000000" w:rsidP="00000000" w:rsidRDefault="00000000" w:rsidRPr="00000000" w14:paraId="0000005A">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текущих расходов на содержание лабораторий, библиотек и других структурных подразделений бюджетных или иных организаций (так как грант имеет конечный срок и проектный результат, а не поддержку текущей деятельности);</w:t>
      </w:r>
    </w:p>
    <w:p w:rsidR="00000000" w:rsidDel="00000000" w:rsidP="00000000" w:rsidRDefault="00000000" w:rsidRPr="00000000" w14:paraId="0000005B">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текущих расходов на уже идущие проекты и обучение, на которые получено финансирование из других источников и не появились новые необходимые статьи расходов;</w:t>
      </w:r>
    </w:p>
    <w:p w:rsidR="00000000" w:rsidDel="00000000" w:rsidP="00000000" w:rsidRDefault="00000000" w:rsidRPr="00000000" w14:paraId="0000005C">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Предоставление грантов и/или иных безвозмездных целевых поступлений (пожертвований, средств на осуществление благотворительной деятельности и др.) другим организациям;</w:t>
      </w:r>
    </w:p>
    <w:p w:rsidR="00000000" w:rsidDel="00000000" w:rsidP="00000000" w:rsidRDefault="00000000" w:rsidRPr="00000000" w14:paraId="0000005D">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Представительские расходы;</w:t>
      </w:r>
    </w:p>
    <w:p w:rsidR="00000000" w:rsidDel="00000000" w:rsidP="00000000" w:rsidRDefault="00000000" w:rsidRPr="00000000" w14:paraId="0000005E">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Покупка транспортных средств.</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 Расходы, которые покрывает грант по п.5.5</w:t>
      </w:r>
    </w:p>
    <w:p w:rsidR="00000000" w:rsidDel="00000000" w:rsidP="00000000" w:rsidRDefault="00000000" w:rsidRPr="00000000" w14:paraId="00000060">
      <w:pPr>
        <w:numPr>
          <w:ilvl w:val="0"/>
          <w:numId w:val="11"/>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Непосредственная деятельность по темам, указанным в данной номинации;</w:t>
      </w:r>
    </w:p>
    <w:p w:rsidR="00000000" w:rsidDel="00000000" w:rsidP="00000000" w:rsidRDefault="00000000" w:rsidRPr="00000000" w14:paraId="00000061">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труда временно привлекаемых внешних специалистов для решения экстренных природоохранных задач.</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6.4 Расходы, которые не покрывает грант по п.5.5:</w:t>
      </w:r>
    </w:p>
    <w:p w:rsidR="00000000" w:rsidDel="00000000" w:rsidP="00000000" w:rsidRDefault="00000000" w:rsidRPr="00000000" w14:paraId="00000063">
      <w:pPr>
        <w:numPr>
          <w:ilvl w:val="0"/>
          <w:numId w:val="11"/>
        </w:numP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Деятельность, материалы и оборудование, которые могут быть профинансированы в рамках стандартного проектного цикла и/или из других источников в требуемом объеме. </w:t>
      </w:r>
    </w:p>
    <w:p w:rsidR="00000000" w:rsidDel="00000000" w:rsidP="00000000" w:rsidRDefault="00000000" w:rsidRPr="00000000" w14:paraId="00000064">
      <w:pPr>
        <w:spacing w:after="240" w:before="24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Критерии оценки</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 Система оценки заявок</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Поданные заявки оцениваются по 7 критериям: </w:t>
      </w:r>
    </w:p>
    <w:p w:rsidR="00000000" w:rsidDel="00000000" w:rsidP="00000000" w:rsidRDefault="00000000" w:rsidRPr="00000000" w14:paraId="00000067">
      <w:pPr>
        <w:numPr>
          <w:ilvl w:val="0"/>
          <w:numId w:val="11"/>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природоохранная значимость;</w:t>
      </w:r>
    </w:p>
    <w:p w:rsidR="00000000" w:rsidDel="00000000" w:rsidP="00000000" w:rsidRDefault="00000000" w:rsidRPr="00000000" w14:paraId="00000068">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вклад на экорегиональном или глобальном уровне;</w:t>
      </w:r>
    </w:p>
    <w:p w:rsidR="00000000" w:rsidDel="00000000" w:rsidP="00000000" w:rsidRDefault="00000000" w:rsidRPr="00000000" w14:paraId="00000069">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своевременность;</w:t>
      </w:r>
    </w:p>
    <w:p w:rsidR="00000000" w:rsidDel="00000000" w:rsidP="00000000" w:rsidRDefault="00000000" w:rsidRPr="00000000" w14:paraId="0000006A">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коммуникационный эффект;</w:t>
      </w:r>
    </w:p>
    <w:p w:rsidR="00000000" w:rsidDel="00000000" w:rsidP="00000000" w:rsidRDefault="00000000" w:rsidRPr="00000000" w14:paraId="0000006B">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масштабируемость;</w:t>
      </w:r>
    </w:p>
    <w:p w:rsidR="00000000" w:rsidDel="00000000" w:rsidP="00000000" w:rsidRDefault="00000000" w:rsidRPr="00000000" w14:paraId="0000006C">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устойчивость проекта после завершения финансирования по гранту;</w:t>
      </w:r>
    </w:p>
    <w:p w:rsidR="00000000" w:rsidDel="00000000" w:rsidP="00000000" w:rsidRDefault="00000000" w:rsidRPr="00000000" w14:paraId="0000006D">
      <w:pPr>
        <w:numPr>
          <w:ilvl w:val="0"/>
          <w:numId w:val="11"/>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технологичность и инновационность.</w:t>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каждого из критериев эксперт может поставить от нуля до четырех баллов, где 0 – проект не соответствует критерию или соответствие не отражено в заявке, 1 – частично соответствует, 2 – соответствует, но требует уточнения или доработки, 3 – полностью соответствует. </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 Повышающие коэффициенты</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являются общими для всех заявок (за исключением номинации «Здесь и сейчас»), однако их вес различается в зависимости от номинации, в которой подан проект. Вес представляет собой повышающий коэффициент от 1 до 3. Коэффициент, равный 3, присваивается наиболее важному критерию для каждой из номинаций. Коэффициент 2 – существенным критериям. Прочие критерии имеют вес равный 1. Максимально возможная сумма баллов с учетом коэффициентов составляет 36. </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7.3 Содержание критериев и вес критериев по номинациям</w:t>
      </w:r>
    </w:p>
    <w:tbl>
      <w:tblPr>
        <w:tblStyle w:val="Table1"/>
        <w:tblW w:w="970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4935"/>
        <w:gridCol w:w="1425"/>
        <w:gridCol w:w="1275"/>
        <w:gridCol w:w="1425"/>
        <w:tblGridChange w:id="0">
          <w:tblGrid>
            <w:gridCol w:w="645"/>
            <w:gridCol w:w="4935"/>
            <w:gridCol w:w="1425"/>
            <w:gridCol w:w="1275"/>
            <w:gridCol w:w="142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Охрана природы  и природо- охранная наука</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Экологи-ческое просве- щение</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Партнер- ство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ООПТ</w:t>
            </w:r>
          </w:p>
        </w:tc>
      </w:tr>
      <w:tr>
        <w:trPr>
          <w:trHeight w:val="420" w:hRule="atLeast"/>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Критерии</w:t>
            </w:r>
          </w:p>
        </w:tc>
        <w:tc>
          <w:tcPr>
            <w:gridSpan w:val="3"/>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Коэффициенты (веса)</w:t>
            </w:r>
          </w:p>
        </w:tc>
      </w:tr>
      <w:t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Природоохранная значимость</w:t>
            </w:r>
            <w:r w:rsidDel="00000000" w:rsidR="00000000" w:rsidRPr="00000000">
              <w:rPr>
                <w:rFonts w:ascii="Times New Roman" w:cs="Times New Roman" w:eastAsia="Times New Roman" w:hAnsi="Times New Roman"/>
                <w:sz w:val="24"/>
                <w:szCs w:val="24"/>
                <w:rtl w:val="0"/>
              </w:rPr>
              <w:t xml:space="preserve">. Складывается из научной обоснованности, уникальности и достижимости конечного измеримого природоохранного эффекта проекта.</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Вклад на экорегиональном или глобальном уровне.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Демонстрация вклада, который результат проекта может внести на экорегиональном или глобальном уровне. </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Своевременность.</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Оценивает срочность реализации проекта.</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Коммуникационный эффект. </w:t>
            </w: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 должен содержать в себе коммуникационный компонент, направленный на информирование ключевых заинтересованных сторон о ходе его реализации. Он может включать в себя наличие коммуникационного плана, подготовку и публикацию материалов (тексты, фото, видео и т.д.), а также их продвижение.</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Масштабируемость.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 оценивает возможность использования лучших практик и результатов проекта в большем масштабе на ООПТ-заявителе и потенциал их успешного реплицирования на других российских (и/или зарубежных) ООПТ. </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Устойчивость проекта после завершения финансирования по гранту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Критерий оценивает устойчивость (природоохранную, финансовую, организационную, кадровую) проекта после завершения финансирования по гранту. Заявитель должен продемонстрировать, что у него есть конкретные планы по поддержанию долгосрочной устойчивости проекта.</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Технологичность и инновационность. </w:t>
            </w:r>
            <w:r w:rsidDel="00000000" w:rsidR="00000000" w:rsidRPr="00000000">
              <w:rPr>
                <w:rFonts w:ascii="Times New Roman" w:cs="Times New Roman" w:eastAsia="Times New Roman" w:hAnsi="Times New Roman"/>
                <w:sz w:val="24"/>
                <w:szCs w:val="24"/>
                <w:rtl w:val="0"/>
              </w:rPr>
              <w:t xml:space="preserve">Один из приоритетов Конкурса – поддержка и развитие новых практик и расширение использования современных технологий в природоохранной деятельности. Критерий не является обязательным, но дает дополнительные баллы к заявке.</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0A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Заявитель должен показать готовность осуществить софинансирование проекта в размере не менее 20% от требуемой суммы на выполнение всего проекта. Софинансирование может быть получено как из бюджета организации-заявителя, так и из других источников (например, донора или спонсора) при условии согласования этого источника с Фондом. </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Процедура рассмотрения заявок</w:t>
      </w: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 Этапы рассмотрения заявок:</w:t>
      </w:r>
    </w:p>
    <w:p w:rsidR="00000000" w:rsidDel="00000000" w:rsidP="00000000" w:rsidRDefault="00000000" w:rsidRPr="00000000" w14:paraId="000000A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Основной конкурсный цикл включает в себя рассмотрение заявок в трех из четырех номинаций Конкурса: «Охрана природы и природоохранная наука», «Экологическое просвещение», «Партнерство ООПТ». Получение гранта в рамках номинации “«Здесь и сейчас»: оказание финансовой поддержки ООПТ в кризисных и экстренных ситуациях” осуществляется вне конкурсного цикла в течение всего года до момента полного расходования средств, зарезервированных на финансирование данной номинации.</w:t>
      </w:r>
    </w:p>
    <w:p w:rsidR="00000000" w:rsidDel="00000000" w:rsidP="00000000" w:rsidRDefault="00000000" w:rsidRPr="00000000" w14:paraId="000000A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Объявление о начале приема заявок в рамках конкурсного цикла публикуется на сайте www.detipriroda.ru, а также в социальных сетях Фонда. </w:t>
      </w:r>
    </w:p>
    <w:p w:rsidR="00000000" w:rsidDel="00000000" w:rsidP="00000000" w:rsidRDefault="00000000" w:rsidRPr="00000000" w14:paraId="000000A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По окончании приема заявок, Конкурсная комиссия осуществляет оценку заявок в соответствии с утвержденной системой оценки заявок.</w:t>
      </w:r>
    </w:p>
    <w:p w:rsidR="00000000" w:rsidDel="00000000" w:rsidP="00000000" w:rsidRDefault="00000000" w:rsidRPr="00000000" w14:paraId="000000AB">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8.2 Состав и порядок формирования Конкурсной комиссии</w:t>
      </w:r>
    </w:p>
    <w:p w:rsidR="00000000" w:rsidDel="00000000" w:rsidP="00000000" w:rsidRDefault="00000000" w:rsidRPr="00000000" w14:paraId="000000A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 В состав Конкурсной комиссии могут входить внешние профильные эксперты, Директор Фонда, иные работники Фонда, члены Совета Фонда. Список членов Конкурсной комиссии утверждается Директором Фонда, являющимся Председателем Конкурсной комиссии. Председатель Конкурсной комиссии обеспечивает работу комиссии, а также ведет ее заседания. Заседания конкурсной комиссии происходят в очной/заочной форме, в том числе путем обмена мнениями по электронной почте и в онлайн средствах коммуникации.</w:t>
      </w:r>
    </w:p>
    <w:p w:rsidR="00000000" w:rsidDel="00000000" w:rsidP="00000000" w:rsidRDefault="00000000" w:rsidRPr="00000000" w14:paraId="000000AD">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 Основные задачи Конкурсной комиссии:</w:t>
      </w:r>
    </w:p>
    <w:p w:rsidR="00000000" w:rsidDel="00000000" w:rsidP="00000000" w:rsidRDefault="00000000" w:rsidRPr="00000000" w14:paraId="000000AE">
      <w:pPr>
        <w:numPr>
          <w:ilvl w:val="0"/>
          <w:numId w:val="3"/>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Конкурсная комиссия рассматривает представленные конкурсные заявки и оценивает их в соответствии с принятыми критериями отбора и оценки;</w:t>
      </w:r>
    </w:p>
    <w:p w:rsidR="00000000" w:rsidDel="00000000" w:rsidP="00000000" w:rsidRDefault="00000000" w:rsidRPr="00000000" w14:paraId="000000AF">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Конкурсная комиссия формирует список конкурсных заявок, рекомендованных к получению грантов на реализацию описанных в заявках проектов;</w:t>
      </w:r>
    </w:p>
    <w:p w:rsidR="00000000" w:rsidDel="00000000" w:rsidP="00000000" w:rsidRDefault="00000000" w:rsidRPr="00000000" w14:paraId="000000B0">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Конкурсная комиссия может рекомендовать доработку в части окончательного варианта плана реализации проекта, изменения бюджета, сроков его реализации и других условий при согласовании их с организацией-заявителем.</w:t>
      </w:r>
    </w:p>
    <w:p w:rsidR="00000000" w:rsidDel="00000000" w:rsidP="00000000" w:rsidRDefault="00000000" w:rsidRPr="00000000" w14:paraId="000000B1">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8.3 Порядок работы и принятия решений Конкурсной комиссией</w:t>
      </w:r>
    </w:p>
    <w:p w:rsidR="00000000" w:rsidDel="00000000" w:rsidP="00000000" w:rsidRDefault="00000000" w:rsidRPr="00000000" w14:paraId="000000B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Члены Конкурсной комиссии проводят оценку поданных заявок в соответствии с утверждённой балльной системой. При рассмотрении заявок члены Конкурсной комиссии учитывают их соответствие требованиям к оформлению, условиям и критериям Конкурса.</w:t>
      </w:r>
    </w:p>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Состав внешних профильных экспертов, которые входят в Конкурсную комиссию, не разглашается.</w:t>
      </w:r>
    </w:p>
    <w:p w:rsidR="00000000" w:rsidDel="00000000" w:rsidP="00000000" w:rsidRDefault="00000000" w:rsidRPr="00000000" w14:paraId="000000B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 Эксперты Конкурса при оценке заявок не вправе вступать в контакты с заявителями, в том числе обсуждать с ними поданные ими заявки, напрямую запрашивать документы, информацию и (или) пояснения.</w:t>
      </w:r>
    </w:p>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8.3.4 Эксперт Конкурса не вправе рассматривать заявку организации, если он является сотрудником, консультантом или членом коллегиальных органов такой организации или если таковыми являются его близкие родственники, а также в иных случаях, если имеются обстоятельства, дающие основание полагать, что эксперт лично, прямо или косвенно заинтересован в результатах рассмотрения заявки.</w:t>
      </w:r>
    </w:p>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8.3.5 Каждая заявка оценивается не менее чем двумя внешними профильными экспертами.</w:t>
      </w:r>
    </w:p>
    <w:p w:rsidR="00000000" w:rsidDel="00000000" w:rsidP="00000000" w:rsidRDefault="00000000" w:rsidRPr="00000000" w14:paraId="000000B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8.3.6 Конкурсная комиссия рассматривает заявки с учетом их предварительного рейтинга, определяемого как сумма баллов, присвоенных оценивающими заявку экспертами конкурса по каждому критерию. По результатам рассмотрения Конкурсная комиссия определяет окончательный рейтинг каждой заявки, в том числе вправе пересмотреть оценки заявки в баллах по одному или нескольким критериям.</w:t>
      </w:r>
    </w:p>
    <w:p w:rsidR="00000000" w:rsidDel="00000000" w:rsidP="00000000" w:rsidRDefault="00000000" w:rsidRPr="00000000" w14:paraId="000000B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8.3.7 Конкурсная комиссия принимает окончательное решение по победителям Конкурса в каждой из номинаций.</w:t>
      </w:r>
      <w:r w:rsidDel="00000000" w:rsidR="00000000" w:rsidRPr="00000000">
        <w:rPr>
          <w:rtl w:val="0"/>
        </w:rPr>
      </w:r>
    </w:p>
    <w:p w:rsidR="00000000" w:rsidDel="00000000" w:rsidP="00000000" w:rsidRDefault="00000000" w:rsidRPr="00000000" w14:paraId="000000B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8.4. Порядок объявления победителей и информирования об итогах конкурса</w:t>
      </w:r>
    </w:p>
    <w:p w:rsidR="00000000" w:rsidDel="00000000" w:rsidP="00000000" w:rsidRDefault="00000000" w:rsidRPr="00000000" w14:paraId="000000B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8.4.1 Победители Конкурса получают информацию об одобрении конкурсной заявки по адресу электронной почты, указанной в заявке. Объявление итогов конкурса - название проектов и организаций-заявителей, победивших в Конкурсе, осуществляется на сайте Фонда. </w:t>
      </w:r>
    </w:p>
    <w:p w:rsidR="00000000" w:rsidDel="00000000" w:rsidP="00000000" w:rsidRDefault="00000000" w:rsidRPr="00000000" w14:paraId="000000B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8.4.2    Фонд оставляет за собой право не выделять грантовое финансирование в любой из номинаций (а равно и во всех номинациях), при условии, что ни одна из поданных заявок не набрала как минимум 2/3 от максимально возможной суммы баллов. Фонд также оставляет за собой право не комментировать заявки, которые не прошли отбор.</w:t>
      </w:r>
      <w:r w:rsidDel="00000000" w:rsidR="00000000" w:rsidRPr="00000000">
        <w:rPr>
          <w:rtl w:val="0"/>
        </w:rPr>
      </w:r>
    </w:p>
    <w:p w:rsidR="00000000" w:rsidDel="00000000" w:rsidP="00000000" w:rsidRDefault="00000000" w:rsidRPr="00000000" w14:paraId="000000B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Порядок заключения договора, ответственность сторон и иные юридически значимые положения </w:t>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9.1. Участнику, победившему в конкурсе, Фонд направляет проект договора благотворительного пожертвования. </w:t>
      </w:r>
    </w:p>
    <w:p w:rsidR="00000000" w:rsidDel="00000000" w:rsidP="00000000" w:rsidRDefault="00000000" w:rsidRPr="00000000" w14:paraId="000000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Договор благотворительного пожертвования заключается по каждому проекту.</w:t>
      </w:r>
    </w:p>
    <w:p w:rsidR="00000000" w:rsidDel="00000000" w:rsidP="00000000" w:rsidRDefault="00000000" w:rsidRPr="00000000" w14:paraId="000000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Если в процессе заключения договора выясниться, что участник, победивший в той или иной номинации, сообщил недостоверные данные, Фонд вправе не заключать договор с таким участником.</w:t>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Грантовое финансирование должно быть израсходовано в соответствии с его целевым назначением. Изменение назначения финансирования возможно при условии письменного согласия Фонда.  В случае, если часть гранта не будет израсходована после завершения того или иного проекта, порядок использования неизрасходованных средств гранта определяется Фондом.</w:t>
      </w:r>
    </w:p>
    <w:p w:rsidR="00000000" w:rsidDel="00000000" w:rsidP="00000000" w:rsidRDefault="00000000" w:rsidRPr="00000000" w14:paraId="000000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Порядок изменения условий или отмены конкурса</w:t>
      </w:r>
    </w:p>
    <w:p w:rsidR="00000000" w:rsidDel="00000000" w:rsidP="00000000" w:rsidRDefault="00000000" w:rsidRPr="00000000" w14:paraId="000000C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Фонд может внести изменения в Положение о Конкурсе в первую половину срока, предусмотренного для приема заявок. Новая версия Положения размещается на сайте фонда по адресу </w:t>
      </w:r>
      <w:hyperlink r:id="rId9">
        <w:r w:rsidDel="00000000" w:rsidR="00000000" w:rsidRPr="00000000">
          <w:rPr>
            <w:rFonts w:ascii="Times New Roman" w:cs="Times New Roman" w:eastAsia="Times New Roman" w:hAnsi="Times New Roman"/>
            <w:color w:val="1155cc"/>
            <w:sz w:val="24"/>
            <w:szCs w:val="24"/>
            <w:u w:val="single"/>
            <w:rtl w:val="0"/>
          </w:rPr>
          <w:t xml:space="preserve">https://www.detipriroda.ru/programms/beautifulworld/</w:t>
        </w:r>
      </w:hyperlink>
      <w:r w:rsidDel="00000000" w:rsidR="00000000" w:rsidRPr="00000000">
        <w:rPr>
          <w:rFonts w:ascii="Times New Roman" w:cs="Times New Roman" w:eastAsia="Times New Roman" w:hAnsi="Times New Roman"/>
          <w:sz w:val="24"/>
          <w:szCs w:val="24"/>
          <w:rtl w:val="0"/>
        </w:rPr>
        <w:t xml:space="preserve">. Заявители, уже подавшие заявки к моменту внесения изменений, будут уведомлены по адресу электронной почты, указанной в заявке.</w:t>
      </w:r>
    </w:p>
    <w:p w:rsidR="00000000" w:rsidDel="00000000" w:rsidP="00000000" w:rsidRDefault="00000000" w:rsidRPr="00000000" w14:paraId="000000C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Отмена Конкурса по причине действия непреодолимой силы и/или отсутствия финансирования может произойти на любом этапе проведения Конкурса.</w:t>
      </w:r>
    </w:p>
    <w:p w:rsidR="00000000" w:rsidDel="00000000" w:rsidP="00000000" w:rsidRDefault="00000000" w:rsidRPr="00000000" w14:paraId="000000C5">
      <w:pPr>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133"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В отношении участника конкурса должны отсутствовать:</w:t>
      </w:r>
    </w:p>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неисполненные постановления административных органов, вступившие в законную силу решения судов о взыскании с заявителя денежных средств, превышающих 10 процентов размера гранта;</w:t>
      </w:r>
    </w:p>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документы, являющиеся основанием для наложения ареста на находящиеся на банковских счетах участника конкурса денежные средства.</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paragraph" w:styleId="a6">
    <w:name w:val="annotation text"/>
    <w:basedOn w:val="a"/>
    <w:link w:val="a7"/>
    <w:uiPriority w:val="99"/>
    <w:semiHidden w:val="1"/>
    <w:unhideWhenUsed w:val="1"/>
    <w:pPr>
      <w:spacing w:line="240" w:lineRule="auto"/>
    </w:pPr>
    <w:rPr>
      <w:sz w:val="20"/>
      <w:szCs w:val="20"/>
    </w:rPr>
  </w:style>
  <w:style w:type="character" w:styleId="a7" w:customStyle="1">
    <w:name w:val="Текст примечания Знак"/>
    <w:basedOn w:val="a0"/>
    <w:link w:val="a6"/>
    <w:uiPriority w:val="99"/>
    <w:semiHidden w:val="1"/>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4E4018"/>
    <w:pPr>
      <w:spacing w:line="240" w:lineRule="auto"/>
    </w:pPr>
    <w:rPr>
      <w:rFonts w:ascii="Segoe UI" w:cs="Segoe UI" w:hAnsi="Segoe UI"/>
      <w:sz w:val="18"/>
      <w:szCs w:val="18"/>
    </w:rPr>
  </w:style>
  <w:style w:type="character" w:styleId="aa" w:customStyle="1">
    <w:name w:val="Текст выноски Знак"/>
    <w:basedOn w:val="a0"/>
    <w:link w:val="a9"/>
    <w:uiPriority w:val="99"/>
    <w:semiHidden w:val="1"/>
    <w:rsid w:val="004E4018"/>
    <w:rPr>
      <w:rFonts w:ascii="Segoe UI" w:cs="Segoe UI" w:hAnsi="Segoe UI"/>
      <w:sz w:val="18"/>
      <w:szCs w:val="18"/>
    </w:rPr>
  </w:style>
  <w:style w:type="paragraph" w:styleId="ab">
    <w:name w:val="List Paragraph"/>
    <w:basedOn w:val="a"/>
    <w:uiPriority w:val="34"/>
    <w:qFormat w:val="1"/>
    <w:rsid w:val="004E4018"/>
    <w:pPr>
      <w:ind w:left="720"/>
      <w:contextualSpacing w:val="1"/>
    </w:pPr>
  </w:style>
  <w:style w:type="paragraph" w:styleId="ac">
    <w:name w:val="annotation subject"/>
    <w:basedOn w:val="a6"/>
    <w:next w:val="a6"/>
    <w:link w:val="ad"/>
    <w:uiPriority w:val="99"/>
    <w:semiHidden w:val="1"/>
    <w:unhideWhenUsed w:val="1"/>
    <w:rsid w:val="001A5FBA"/>
    <w:rPr>
      <w:b w:val="1"/>
      <w:bCs w:val="1"/>
    </w:rPr>
  </w:style>
  <w:style w:type="character" w:styleId="ad" w:customStyle="1">
    <w:name w:val="Тема примечания Знак"/>
    <w:basedOn w:val="a7"/>
    <w:link w:val="ac"/>
    <w:uiPriority w:val="99"/>
    <w:semiHidden w:val="1"/>
    <w:rsid w:val="001A5FBA"/>
    <w:rPr>
      <w:b w:val="1"/>
      <w:bCs w:val="1"/>
      <w:sz w:val="20"/>
      <w:szCs w:val="20"/>
    </w:rPr>
  </w:style>
  <w:style w:type="paragraph" w:styleId="10" w:customStyle="1">
    <w:name w:val="Обычный1"/>
    <w:qFormat w:val="1"/>
    <w:rsid w:val="00433AB8"/>
    <w:pPr>
      <w:spacing w:line="240" w:lineRule="auto"/>
    </w:pPr>
    <w:rPr>
      <w:rFonts w:ascii="Times New Roman" w:cs="Times New Roman" w:eastAsia="Times New Roman" w:hAnsi="Times New Roman"/>
      <w:color w:val="000000"/>
      <w:sz w:val="20"/>
      <w:szCs w:val="20"/>
      <w:lang w:val="ru-RU"/>
    </w:rPr>
  </w:style>
  <w:style w:type="paragraph" w:styleId="ae">
    <w:name w:val="endnote text"/>
    <w:basedOn w:val="a"/>
    <w:link w:val="af"/>
    <w:uiPriority w:val="99"/>
    <w:semiHidden w:val="1"/>
    <w:unhideWhenUsed w:val="1"/>
    <w:rsid w:val="00327D62"/>
    <w:pPr>
      <w:spacing w:line="240" w:lineRule="auto"/>
    </w:pPr>
    <w:rPr>
      <w:sz w:val="20"/>
      <w:szCs w:val="20"/>
    </w:rPr>
  </w:style>
  <w:style w:type="character" w:styleId="af" w:customStyle="1">
    <w:name w:val="Текст концевой сноски Знак"/>
    <w:basedOn w:val="a0"/>
    <w:link w:val="ae"/>
    <w:uiPriority w:val="99"/>
    <w:semiHidden w:val="1"/>
    <w:rsid w:val="00327D62"/>
    <w:rPr>
      <w:sz w:val="20"/>
      <w:szCs w:val="20"/>
    </w:rPr>
  </w:style>
  <w:style w:type="character" w:styleId="af0">
    <w:name w:val="endnote reference"/>
    <w:basedOn w:val="a0"/>
    <w:uiPriority w:val="99"/>
    <w:semiHidden w:val="1"/>
    <w:unhideWhenUsed w:val="1"/>
    <w:rsid w:val="00327D62"/>
    <w:rPr>
      <w:vertAlign w:val="superscript"/>
    </w:rPr>
  </w:style>
  <w:style w:type="paragraph" w:styleId="af1">
    <w:name w:val="footnote text"/>
    <w:basedOn w:val="a"/>
    <w:link w:val="af2"/>
    <w:uiPriority w:val="99"/>
    <w:semiHidden w:val="1"/>
    <w:unhideWhenUsed w:val="1"/>
    <w:rsid w:val="00327D62"/>
    <w:pPr>
      <w:spacing w:line="240" w:lineRule="auto"/>
    </w:pPr>
    <w:rPr>
      <w:sz w:val="20"/>
      <w:szCs w:val="20"/>
    </w:rPr>
  </w:style>
  <w:style w:type="character" w:styleId="af2" w:customStyle="1">
    <w:name w:val="Текст сноски Знак"/>
    <w:basedOn w:val="a0"/>
    <w:link w:val="af1"/>
    <w:uiPriority w:val="99"/>
    <w:semiHidden w:val="1"/>
    <w:rsid w:val="00327D62"/>
    <w:rPr>
      <w:sz w:val="20"/>
      <w:szCs w:val="20"/>
    </w:rPr>
  </w:style>
  <w:style w:type="character" w:styleId="af3">
    <w:name w:val="footnote reference"/>
    <w:basedOn w:val="a0"/>
    <w:uiPriority w:val="99"/>
    <w:semiHidden w:val="1"/>
    <w:unhideWhenUsed w:val="1"/>
    <w:rsid w:val="00327D62"/>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etipriroda.ru/programms/beautifulworl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detipriroda.ru/programms/beautiful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o2Cn24OdtLvKsoX0J53gRPpOnQ==">AMUW2mVJ9Rx8LNrUuQQRFKUIIpdbObL6aj6+rapMUxSJDtjvKq0OA1WCkxOPxhmXL2bOQ5JU1BH9v364XjA48Fwvgx5YP1gZGhiTB6ltplxpLMElxmdzLfw5vS0RHHW3LRSkEo6ueJxu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2021-03-21T20:19:00Z</dcterms:created>
  <dc:creator>Севастопольская Ольга Борисовна</dc:creator>
</cp:coreProperties>
</file>